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9360"/>
        <w:tblGridChange w:id="0">
          <w:tblGrid>
            <w:gridCol w:w="9360"/>
          </w:tblGrid>
        </w:tblGridChange>
      </w:tblGrid>
      <w:tr>
        <w:trPr>
          <w:trHeight w:val="1702" w:hRule="atLeast"/>
        </w:trPr>
        <w:tc>
          <w:tcPr>
            <w:tcMar>
              <w:top w:w="0.0" w:type="dxa"/>
              <w:bottom w:w="0.0" w:type="dxa"/>
            </w:tcMar>
          </w:tcPr>
          <w:p w:rsidR="00000000" w:rsidDel="00000000" w:rsidP="00000000" w:rsidRDefault="00000000" w:rsidRPr="00000000" w14:paraId="00000002">
            <w:pPr>
              <w:pStyle w:val="Title"/>
              <w:rPr/>
            </w:pPr>
            <w:r w:rsidDel="00000000" w:rsidR="00000000" w:rsidRPr="00000000">
              <w:rPr>
                <w:rtl w:val="0"/>
              </w:rPr>
              <w:t xml:space="preserve">fazel  </w:t>
            </w:r>
            <w:r w:rsidDel="00000000" w:rsidR="00000000" w:rsidRPr="00000000">
              <w:rPr>
                <w:b w:val="1"/>
                <w:color w:val="262626"/>
                <w:rtl w:val="0"/>
              </w:rPr>
              <w:t xml:space="preserve">Sultani</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d824c"/>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Calibri" w:cs="Calibri" w:eastAsia="Calibri" w:hAnsi="Calibri"/>
                  <w:b w:val="1"/>
                  <w:i w:val="0"/>
                  <w:smallCaps w:val="0"/>
                  <w:strike w:val="0"/>
                  <w:color w:val="2c5c85"/>
                  <w:sz w:val="22"/>
                  <w:szCs w:val="22"/>
                  <w:u w:val="single"/>
                  <w:shd w:fill="auto" w:val="clear"/>
                  <w:vertAlign w:val="baseline"/>
                  <w:rtl w:val="0"/>
                </w:rPr>
                <w:t xml:space="preserve">fazelsultani6090@gmail.com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Mobile: +30 694 535 2571</w:t>
            </w:r>
            <w:r w:rsidDel="00000000" w:rsidR="00000000" w:rsidRPr="00000000">
              <w:rPr>
                <w:rtl w:val="0"/>
              </w:rPr>
            </w:r>
          </w:p>
        </w:tc>
      </w:tr>
      <w:tr>
        <w:tc>
          <w:tcPr>
            <w:tcMar>
              <w:top w:w="432.0" w:type="dxa"/>
            </w:tcMar>
          </w:tcPr>
          <w:p w:rsidR="00000000" w:rsidDel="00000000" w:rsidP="00000000" w:rsidRDefault="00000000" w:rsidRPr="00000000" w14:paraId="00000005">
            <w:pPr>
              <w:rPr/>
            </w:pPr>
            <w:r w:rsidDel="00000000" w:rsidR="00000000" w:rsidRPr="00000000">
              <w:rPr>
                <w:rtl w:val="0"/>
              </w:rPr>
              <w:t xml:space="preserve">Experienced and innovative attorney with passion and dedication to justice. Highly skilled and successful in oral argument and legal research, leading to successful litigation of cases. Moreover, an efficient and accurate interpreter with over 3 years of experience. Skilled in English, Farsi, Pashto, Urdu and legal &amp; medical terminology.  </w:t>
            </w:r>
          </w:p>
        </w:tc>
      </w:tr>
    </w:tbl>
    <w:p w:rsidR="00000000" w:rsidDel="00000000" w:rsidP="00000000" w:rsidRDefault="00000000" w:rsidRPr="00000000" w14:paraId="00000006">
      <w:pPr>
        <w:pStyle w:val="Heading1"/>
        <w:rPr/>
      </w:pPr>
      <w:r w:rsidDel="00000000" w:rsidR="00000000" w:rsidRPr="00000000">
        <w:rPr>
          <w:rtl w:val="0"/>
        </w:rPr>
        <w:t xml:space="preserve">Experience</w:t>
      </w:r>
    </w:p>
    <w:tbl>
      <w:tblPr>
        <w:tblStyle w:val="Table2"/>
        <w:tblW w:w="929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290"/>
        <w:tblGridChange w:id="0">
          <w:tblGrid>
            <w:gridCol w:w="9290"/>
          </w:tblGrid>
        </w:tblGridChange>
      </w:tblGrid>
      <w:tr>
        <w:tc>
          <w:tcPr/>
          <w:p w:rsidR="00000000" w:rsidDel="00000000" w:rsidP="00000000" w:rsidRDefault="00000000" w:rsidRPr="00000000" w14:paraId="00000007">
            <w:pPr>
              <w:pStyle w:val="Heading3"/>
              <w:rPr/>
            </w:pPr>
            <w:r w:rsidDel="00000000" w:rsidR="00000000" w:rsidRPr="00000000">
              <w:rPr>
                <w:rtl w:val="0"/>
              </w:rPr>
              <w:t xml:space="preserve">Aril 2017 – August 2021</w:t>
            </w:r>
          </w:p>
          <w:p w:rsidR="00000000" w:rsidDel="00000000" w:rsidP="00000000" w:rsidRDefault="00000000" w:rsidRPr="00000000" w14:paraId="00000008">
            <w:pPr>
              <w:pStyle w:val="Heading2"/>
              <w:rPr/>
            </w:pPr>
            <w:r w:rsidDel="00000000" w:rsidR="00000000" w:rsidRPr="00000000">
              <w:rPr>
                <w:color w:val="000000"/>
                <w:rtl w:val="0"/>
              </w:rPr>
              <w:t xml:space="preserve">State attorney -</w:t>
            </w:r>
            <w:r w:rsidDel="00000000" w:rsidR="00000000" w:rsidRPr="00000000">
              <w:rPr>
                <w:rtl w:val="0"/>
              </w:rPr>
              <w:t xml:space="preserve"> </w:t>
            </w:r>
            <w:r w:rsidDel="00000000" w:rsidR="00000000" w:rsidRPr="00000000">
              <w:rPr>
                <w:b w:val="1"/>
                <w:smallCaps w:val="1"/>
                <w:color w:val="595959"/>
                <w:rtl w:val="0"/>
              </w:rPr>
              <w:t xml:space="preserve">Minsitry of justice – Kabul, Afghanistan</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Interview witnesses and gathered public record research relevant to each case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Advocated for clients before court in oral argument by presenting facts and evidences in most favorable light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Drafted statements of cases and witness lists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Analyzed probable outcome of cases using knowledge of legal procedures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Attended court hearings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Conducted legal research and conferred with colleagues with subject matter expertise to develop strategies and arguments in preparation of presentation of cases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r w:rsidDel="00000000" w:rsidR="00000000" w:rsidRPr="00000000">
              <w:rPr>
                <w:rtl w:val="0"/>
              </w:rPr>
              <w:t xml:space="preserve">mAy 2018 – jUNE 2021</w:t>
            </w:r>
          </w:p>
          <w:p w:rsidR="00000000" w:rsidDel="00000000" w:rsidP="00000000" w:rsidRDefault="00000000" w:rsidRPr="00000000" w14:paraId="00000011">
            <w:pPr>
              <w:pStyle w:val="Heading2"/>
              <w:rPr/>
            </w:pPr>
            <w:r w:rsidDel="00000000" w:rsidR="00000000" w:rsidRPr="00000000">
              <w:rPr>
                <w:color w:val="000000"/>
                <w:rtl w:val="0"/>
              </w:rPr>
              <w:t xml:space="preserve">iNTERPRETER -  </w:t>
            </w:r>
            <w:r w:rsidDel="00000000" w:rsidR="00000000" w:rsidRPr="00000000">
              <w:rPr>
                <w:b w:val="1"/>
                <w:smallCaps w:val="1"/>
                <w:color w:val="595959"/>
                <w:rtl w:val="0"/>
              </w:rPr>
              <w:t xml:space="preserve">Global oil services – Kabul, Afghanistan</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Worked as a part-time interpreter and translator for the legal team – English to Farsi/Pashto/Urdu and vis-versa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Reviewed and translated the contracts, making sure the content is understood by all the teams before proceeding</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Interpreted for the parties in significant meetings and contract discussions</w:t>
            </w:r>
          </w:p>
          <w:p w:rsidR="00000000" w:rsidDel="00000000" w:rsidP="00000000" w:rsidRDefault="00000000" w:rsidRPr="00000000" w14:paraId="00000015">
            <w:pPr>
              <w:rPr/>
            </w:pPr>
            <w:r w:rsidDel="00000000" w:rsidR="00000000" w:rsidRPr="00000000">
              <w:rPr>
                <w:rtl w:val="0"/>
              </w:rPr>
            </w:r>
          </w:p>
        </w:tc>
      </w:tr>
      <w:tr>
        <w:tc>
          <w:tcPr>
            <w:tcMar>
              <w:top w:w="216.0" w:type="dxa"/>
            </w:tcMar>
          </w:tcPr>
          <w:p w:rsidR="00000000" w:rsidDel="00000000" w:rsidP="00000000" w:rsidRDefault="00000000" w:rsidRPr="00000000" w14:paraId="00000016">
            <w:pPr>
              <w:pStyle w:val="Heading3"/>
              <w:rPr/>
            </w:pPr>
            <w:r w:rsidDel="00000000" w:rsidR="00000000" w:rsidRPr="00000000">
              <w:rPr>
                <w:rtl w:val="0"/>
              </w:rPr>
              <w:t xml:space="preserve">January 2016 – April 2017</w:t>
            </w:r>
          </w:p>
          <w:p w:rsidR="00000000" w:rsidDel="00000000" w:rsidP="00000000" w:rsidRDefault="00000000" w:rsidRPr="00000000" w14:paraId="00000017">
            <w:pPr>
              <w:pStyle w:val="Heading2"/>
              <w:rPr/>
            </w:pPr>
            <w:r w:rsidDel="00000000" w:rsidR="00000000" w:rsidRPr="00000000">
              <w:rPr>
                <w:color w:val="000000"/>
                <w:rtl w:val="0"/>
              </w:rPr>
              <w:t xml:space="preserve">Legal Advisor -  </w:t>
            </w:r>
            <w:r w:rsidDel="00000000" w:rsidR="00000000" w:rsidRPr="00000000">
              <w:rPr>
                <w:b w:val="1"/>
                <w:smallCaps w:val="1"/>
                <w:color w:val="595959"/>
                <w:rtl w:val="0"/>
              </w:rPr>
              <w:t xml:space="preserve">Global oil services – Kabul, Afghanistan</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Developed compliance best practices for the company</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Review legal contracts and made sure they were not in conflict with any of the Afghan Laws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Administered audits to verify data involving assets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Communicated advice about areas of Business law with internal business partners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t xml:space="preserve">June 2013 – January 2016</w:t>
            </w:r>
          </w:p>
          <w:p w:rsidR="00000000" w:rsidDel="00000000" w:rsidP="00000000" w:rsidRDefault="00000000" w:rsidRPr="00000000" w14:paraId="0000001E">
            <w:pPr>
              <w:pStyle w:val="Heading2"/>
              <w:rPr>
                <w:b w:val="1"/>
                <w:smallCaps w:val="1"/>
                <w:color w:val="595959"/>
              </w:rPr>
            </w:pPr>
            <w:r w:rsidDel="00000000" w:rsidR="00000000" w:rsidRPr="00000000">
              <w:rPr>
                <w:color w:val="000000"/>
                <w:rtl w:val="0"/>
              </w:rPr>
              <w:t xml:space="preserve">Ramp operation manager -  </w:t>
            </w:r>
            <w:r w:rsidDel="00000000" w:rsidR="00000000" w:rsidRPr="00000000">
              <w:rPr>
                <w:b w:val="1"/>
                <w:smallCaps w:val="1"/>
                <w:color w:val="595959"/>
                <w:rtl w:val="0"/>
              </w:rPr>
              <w:t xml:space="preserve">Global oil services – Kabul, Afghanistan</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Trained the staff on fueling operation and finance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Oversaw the daily operations to ensure high levels of productivity</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Received and processed stock into inventory management system</w:t>
            </w:r>
          </w:p>
        </w:tc>
      </w:tr>
    </w:tbl>
    <w:p w:rsidR="00000000" w:rsidDel="00000000" w:rsidP="00000000" w:rsidRDefault="00000000" w:rsidRPr="00000000" w14:paraId="00000022">
      <w:pPr>
        <w:pStyle w:val="Heading1"/>
        <w:rPr/>
      </w:pPr>
      <w:r w:rsidDel="00000000" w:rsidR="00000000" w:rsidRPr="00000000">
        <w:rPr>
          <w:rtl w:val="0"/>
        </w:rPr>
        <w:t xml:space="preserve">Education</w:t>
      </w:r>
    </w:p>
    <w:tbl>
      <w:tblPr>
        <w:tblStyle w:val="Table3"/>
        <w:tblW w:w="929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290"/>
        <w:tblGridChange w:id="0">
          <w:tblGrid>
            <w:gridCol w:w="9290"/>
          </w:tblGrid>
        </w:tblGridChange>
      </w:tblGrid>
      <w:tr>
        <w:tc>
          <w:tcPr/>
          <w:p w:rsidR="00000000" w:rsidDel="00000000" w:rsidP="00000000" w:rsidRDefault="00000000" w:rsidRPr="00000000" w14:paraId="00000023">
            <w:pPr>
              <w:pStyle w:val="Heading3"/>
              <w:rPr/>
            </w:pPr>
            <w:r w:rsidDel="00000000" w:rsidR="00000000" w:rsidRPr="00000000">
              <w:rPr>
                <w:rtl w:val="0"/>
              </w:rPr>
              <w:t xml:space="preserve">January 2020</w:t>
            </w:r>
          </w:p>
          <w:p w:rsidR="00000000" w:rsidDel="00000000" w:rsidP="00000000" w:rsidRDefault="00000000" w:rsidRPr="00000000" w14:paraId="00000024">
            <w:pPr>
              <w:pStyle w:val="Heading2"/>
              <w:rPr/>
            </w:pPr>
            <w:r w:rsidDel="00000000" w:rsidR="00000000" w:rsidRPr="00000000">
              <w:rPr>
                <w:color w:val="000000"/>
                <w:rtl w:val="0"/>
              </w:rPr>
              <w:t xml:space="preserve">Master of Law (LLM) - </w:t>
            </w:r>
            <w:r w:rsidDel="00000000" w:rsidR="00000000" w:rsidRPr="00000000">
              <w:rPr>
                <w:b w:val="1"/>
                <w:smallCaps w:val="1"/>
                <w:color w:val="595959"/>
                <w:rtl w:val="0"/>
              </w:rPr>
              <w:t xml:space="preserve">Kabul University – Kabul, Afghanistan</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Graduated with Honors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Member of the Criminal Law Society</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Member of Honor Council</w:t>
            </w:r>
          </w:p>
          <w:p w:rsidR="00000000" w:rsidDel="00000000" w:rsidP="00000000" w:rsidRDefault="00000000" w:rsidRPr="00000000" w14:paraId="00000028">
            <w:pPr>
              <w:rPr/>
            </w:pPr>
            <w:r w:rsidDel="00000000" w:rsidR="00000000" w:rsidRPr="00000000">
              <w:rPr>
                <w:rtl w:val="0"/>
              </w:rPr>
            </w:r>
          </w:p>
        </w:tc>
      </w:tr>
      <w:tr>
        <w:tc>
          <w:tcPr>
            <w:tcMar>
              <w:top w:w="216.0" w:type="dxa"/>
            </w:tcMar>
          </w:tcPr>
          <w:p w:rsidR="00000000" w:rsidDel="00000000" w:rsidP="00000000" w:rsidRDefault="00000000" w:rsidRPr="00000000" w14:paraId="00000029">
            <w:pPr>
              <w:pStyle w:val="Heading3"/>
              <w:rPr/>
            </w:pPr>
            <w:r w:rsidDel="00000000" w:rsidR="00000000" w:rsidRPr="00000000">
              <w:rPr>
                <w:rtl w:val="0"/>
              </w:rPr>
              <w:t xml:space="preserve">January 2016</w:t>
            </w:r>
          </w:p>
          <w:p w:rsidR="00000000" w:rsidDel="00000000" w:rsidP="00000000" w:rsidRDefault="00000000" w:rsidRPr="00000000" w14:paraId="0000002A">
            <w:pPr>
              <w:pStyle w:val="Heading2"/>
              <w:rPr>
                <w:color w:val="000000"/>
              </w:rPr>
            </w:pPr>
            <w:r w:rsidDel="00000000" w:rsidR="00000000" w:rsidRPr="00000000">
              <w:rPr>
                <w:color w:val="000000"/>
                <w:rtl w:val="0"/>
              </w:rPr>
              <w:t xml:space="preserve">lAW WITH POLITICS &amp; INTERNATIONAL RELATIONS llb (hONS)  </w:t>
            </w:r>
          </w:p>
          <w:p w:rsidR="00000000" w:rsidDel="00000000" w:rsidP="00000000" w:rsidRDefault="00000000" w:rsidRPr="00000000" w14:paraId="0000002B">
            <w:pPr>
              <w:pStyle w:val="Heading2"/>
              <w:rPr/>
            </w:pPr>
            <w:r w:rsidDel="00000000" w:rsidR="00000000" w:rsidRPr="00000000">
              <w:rPr>
                <w:b w:val="1"/>
                <w:smallCaps w:val="1"/>
                <w:color w:val="595959"/>
                <w:rtl w:val="0"/>
              </w:rPr>
              <w:t xml:space="preserve">tABISH uNIVERSITY – kABUL, aGHANISTAN</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Member of Honor Council </w:t>
            </w:r>
          </w:p>
        </w:tc>
      </w:tr>
    </w:tbl>
    <w:p w:rsidR="00000000" w:rsidDel="00000000" w:rsidP="00000000" w:rsidRDefault="00000000" w:rsidRPr="00000000" w14:paraId="0000002D">
      <w:pPr>
        <w:pStyle w:val="Heading1"/>
        <w:rPr/>
      </w:pPr>
      <w:r w:rsidDel="00000000" w:rsidR="00000000" w:rsidRPr="00000000">
        <w:rPr>
          <w:rtl w:val="0"/>
        </w:rPr>
        <w:t xml:space="preserve">Skills</w:t>
      </w:r>
    </w:p>
    <w:tbl>
      <w:tblPr>
        <w:tblStyle w:val="Table4"/>
        <w:tblW w:w="9360.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680"/>
        <w:gridCol w:w="4680"/>
        <w:tblGridChange w:id="0">
          <w:tblGrid>
            <w:gridCol w:w="4680"/>
            <w:gridCol w:w="4680"/>
          </w:tblGrid>
        </w:tblGridChange>
      </w:tblGrid>
      <w:tr>
        <w:tc>
          <w:tcPr/>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Excellent language skills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Fluent in English, Farsi, Pashto and Urdu</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Property Law</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Criminal defense</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Civil Law</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Settlement Agreements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tc>
        <w:tc>
          <w:tcPr>
            <w:tcMar>
              <w:left w:w="360.0" w:type="dxa"/>
            </w:tcMar>
          </w:tcPr>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Case analysis</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Legal Writing</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Corporate and business legal issues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9">
      <w:pPr>
        <w:pStyle w:val="Heading1"/>
        <w:rPr/>
      </w:pPr>
      <w:r w:rsidDel="00000000" w:rsidR="00000000" w:rsidRPr="00000000">
        <w:rPr>
          <w:rtl w:val="0"/>
        </w:rPr>
        <w:t xml:space="preserve">License and professional affiliation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Member of Afghan Lawyers Association</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Member of International Association of Prosecutors (IAP)</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Member of Human Rights Committee, Afghanistan</w:t>
      </w:r>
    </w:p>
    <w:p w:rsidR="00000000" w:rsidDel="00000000" w:rsidP="00000000" w:rsidRDefault="00000000" w:rsidRPr="00000000" w14:paraId="0000003D">
      <w:pPr>
        <w:pStyle w:val="Heading1"/>
        <w:rPr/>
      </w:pPr>
      <w:bookmarkStart w:colFirst="0" w:colLast="0" w:name="_gjdgxs" w:id="0"/>
      <w:bookmarkEnd w:id="0"/>
      <w:r w:rsidDel="00000000" w:rsidR="00000000" w:rsidRPr="00000000">
        <w:rPr>
          <w:rtl w:val="0"/>
        </w:rPr>
        <w:t xml:space="preserve">References </w:t>
      </w:r>
    </w:p>
    <w:p w:rsidR="00000000" w:rsidDel="00000000" w:rsidP="00000000" w:rsidRDefault="00000000" w:rsidRPr="00000000" w14:paraId="0000003E">
      <w:pPr>
        <w:rPr/>
      </w:pPr>
      <w:r w:rsidDel="00000000" w:rsidR="00000000" w:rsidRPr="00000000">
        <w:rPr>
          <w:b w:val="1"/>
          <w:rtl w:val="0"/>
        </w:rPr>
        <w:t xml:space="preserve">Vassia Voziku</w:t>
      </w:r>
      <w:r w:rsidDel="00000000" w:rsidR="00000000" w:rsidRPr="00000000">
        <w:rPr>
          <w:rtl w:val="0"/>
        </w:rPr>
        <w:br w:type="textWrapping"/>
        <w:t xml:space="preserve">Laywer – European Lawyers in Levos</w:t>
        <w:br w:type="textWrapping"/>
        <w:t xml:space="preserve">Email: </w:t>
      </w:r>
      <w:hyperlink r:id="rId7">
        <w:r w:rsidDel="00000000" w:rsidR="00000000" w:rsidRPr="00000000">
          <w:rPr>
            <w:color w:val="2c5c85"/>
            <w:u w:val="single"/>
            <w:rtl w:val="0"/>
          </w:rPr>
          <w:t xml:space="preserve">v.voziki@europeanlawyersinlesvos.eu</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Emily Foale</w:t>
      </w:r>
      <w:r w:rsidDel="00000000" w:rsidR="00000000" w:rsidRPr="00000000">
        <w:rPr>
          <w:rtl w:val="0"/>
        </w:rPr>
        <w:br w:type="textWrapping"/>
        <w:t xml:space="preserve">Managing Director - International Bar Association</w:t>
        <w:br w:type="textWrapping"/>
        <w:t xml:space="preserve">Email: </w:t>
      </w:r>
      <w:hyperlink r:id="rId8">
        <w:r w:rsidDel="00000000" w:rsidR="00000000" w:rsidRPr="00000000">
          <w:rPr>
            <w:color w:val="2c5c85"/>
            <w:u w:val="single"/>
            <w:rtl w:val="0"/>
          </w:rPr>
          <w:t xml:space="preserve">emily.foale@int-bar.org</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9" w:type="first"/>
      <w:footerReference r:id="rId10" w:type="default"/>
      <w:pgSz w:h="15840" w:w="12240"/>
      <w:pgMar w:bottom="1080" w:top="950"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align>center</wp:align>
              </wp:positionH>
              <wp:positionV relativeFrom="page">
                <wp:posOffset>1739900</wp:posOffset>
              </wp:positionV>
              <wp:extent cx="7772400" cy="0"/>
              <wp:effectExtent b="19050" l="0" r="19050" t="0"/>
              <wp:wrapNone/>
              <wp:docPr id="1" name=""/>
              <a:graphic>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posOffset>1739900</wp:posOffset>
              </wp:positionV>
              <wp:extent cx="7791450" cy="19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1450" cy="190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70"/>
      <w:szCs w:val="70"/>
    </w:rPr>
  </w:style>
  <w:style w:type="paragraph" w:styleId="Subtitle">
    <w:name w:val="Subtitle"/>
    <w:basedOn w:val="Normal"/>
    <w:next w:val="Normal"/>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 w:type="table" w:styleId="Table2">
    <w:basedOn w:val="TableNormal"/>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3">
    <w:basedOn w:val="TableNormal"/>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4">
    <w:basedOn w:val="TableNormal"/>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fazelsultani6090@gmail.com" TargetMode="External"/><Relationship Id="rId7" Type="http://schemas.openxmlformats.org/officeDocument/2006/relationships/hyperlink" Target="mailto:v.voziki@europeanlawyersinlesvos.eu" TargetMode="External"/><Relationship Id="rId8" Type="http://schemas.openxmlformats.org/officeDocument/2006/relationships/hyperlink" Target="mailto:emily.foale@int-b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